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drawing>
          <wp:inline distT="0" distB="0" distL="0" distR="0">
            <wp:extent cx="2400300" cy="5524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Golos Text" w:cs="Golos Text" w:eastAsia="Golos Text" w:hAnsi="Golos Text"/>
          <w:i/>
          <w:iCs/>
          <w:color w:val="6E8A99"/>
          <w:sz w:val="17"/>
          <w:szCs w:val="17"/>
        </w:rPr>
        <w:t xml:space="preserve">Семейная фабрика Кудряшовых</w:t>
      </w:r>
    </w:p>
    <w:p>
      <w:pPr>
        <w:pBdr>
          <w:bottom w:val="single" w:color="778C69" w:sz="8" w:space="5"/>
        </w:pBdr>
        <w:spacing w:after="140"/>
        <w:jc w:val="center"/>
      </w:pPr>
      <w:r>
        <w:rPr>
          <w:rFonts w:ascii="Golos Text" w:cs="Golos Text" w:eastAsia="Golos Text" w:hAnsi="Golos Text"/>
          <w:color w:val="6B6358"/>
          <w:sz w:val="15"/>
          <w:szCs w:val="15"/>
        </w:rPr>
        <w:t xml:space="preserve">kudrava.ru   •   kudrava17@yandex.ru   •   +7 (987) 544-17-88</w:t>
      </w:r>
    </w:p>
    <w:p>
      <w:pPr>
        <w:spacing w:after="30" w:before="20"/>
        <w:jc w:val="center"/>
      </w:pPr>
      <w:r>
        <w:rPr>
          <w:rFonts w:ascii="Nunito" w:cs="Nunito" w:eastAsia="Nunito" w:hAnsi="Nunito"/>
          <w:b/>
          <w:bCs/>
          <w:color w:val="778C69"/>
          <w:sz w:val="27"/>
          <w:szCs w:val="27"/>
        </w:rPr>
        <w:t xml:space="preserve">Технические условия на черенок</w:t>
      </w:r>
    </w:p>
    <w:p>
      <w:pPr>
        <w:spacing w:after="160"/>
        <w:jc w:val="center"/>
      </w:pPr>
      <w:r>
        <w:rPr>
          <w:rFonts w:ascii="Golos Text" w:cs="Golos Text" w:eastAsia="Golos Text" w:hAnsi="Golos Text"/>
          <w:i/>
          <w:iCs/>
          <w:color w:val="847A68"/>
          <w:sz w:val="16"/>
          <w:szCs w:val="16"/>
        </w:rPr>
        <w:t xml:space="preserve">ТУ-1810-13 · высший, 1-й и 2-й сорт</w:t>
      </w:r>
    </w:p>
    <w:p>
      <w:pPr>
        <w:spacing w:after="140" w:line="240"/>
        <w:jc w:val="both"/>
      </w:pPr>
      <w:r>
        <w:rPr>
          <w:rFonts w:ascii="Golos Text" w:cs="Golos Text" w:eastAsia="Golos Text" w:hAnsi="Golos Text"/>
          <w:color w:val="3B362E"/>
          <w:sz w:val="18"/>
          <w:szCs w:val="18"/>
        </w:rPr>
        <w:t xml:space="preserve">Внутренний стандарт качества: каким должен получиться черенок и что считается браком. Делаем из лиственных пород — берёза, осина.</w:t>
      </w:r>
    </w:p>
    <w:p>
      <w:pPr>
        <w:pBdr>
          <w:bottom w:val="single" w:color="E3B55E" w:sz="5" w:space="2"/>
        </w:pBdr>
        <w:spacing w:after="70" w:before="160"/>
      </w:pPr>
      <w:r>
        <w:rPr>
          <w:rFonts w:ascii="Nunito" w:cs="Nunito" w:eastAsia="Nunito" w:hAnsi="Nunito"/>
          <w:b/>
          <w:bCs/>
          <w:color w:val="C97453"/>
          <w:sz w:val="21"/>
          <w:szCs w:val="21"/>
        </w:rPr>
        <w:t xml:space="preserve">Сорта и допустимые дефекты</w:t>
      </w:r>
    </w:p>
    <w:tbl>
      <w:tblPr>
        <w:tblW w:type="dxa" w:w="97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850"/>
        <w:gridCol w:w="2050"/>
        <w:gridCol w:w="3306"/>
      </w:tblGrid>
      <w:tr>
        <w:trPr>
          <w:tblHeader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778C69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center"/>
            </w:pPr>
            <w:r>
              <w:rPr>
                <w:rFonts w:ascii="Nunito" w:cs="Nunito" w:eastAsia="Nunito" w:hAnsi="Nunito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Дефект (ГОСТ 2140)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778C69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center"/>
            </w:pPr>
            <w:r>
              <w:rPr>
                <w:rFonts w:ascii="Nunito" w:cs="Nunito" w:eastAsia="Nunito" w:hAnsi="Nunito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Высший сорт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C97453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center"/>
            </w:pPr>
            <w:r>
              <w:rPr>
                <w:rFonts w:ascii="Nunito" w:cs="Nunito" w:eastAsia="Nunito" w:hAnsi="Nunito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1 сорт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E3B55E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center"/>
            </w:pPr>
            <w:r>
              <w:rPr>
                <w:rFonts w:ascii="Nunito" w:cs="Nunito" w:eastAsia="Nunito" w:hAnsi="Nunito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2 сорт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Сучки здоровые, сросшиеся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1 шт., до 1/4 диаметра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До 3 шт., до 1/3 диаметра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BF6EB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До 5 шт., до 1/2 диаметра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Сучки выпадающие, гнилые, табачные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7EFDD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Выпадающие — допускаются, до 1/4 диаметра, не более 2 шт. Гнилые, табачные — не допускаются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Ложное ядро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До 1/10 объёма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До 1/3 объёма, не более чем у 1/5 черенков партии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BF6EB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До 1/2 объёма, без ограничения по партии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Трещины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7EFDD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Несквозные, до 1/20 длины, вне посадочной части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Побурение, плесень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BF6EB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Побурение — допустимо. Поверхностная плесень без запаха гнили — допустима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Гниль, в т.ч. внутренняя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7EFDD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Повреждения паразитами, червоточины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BF6EB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Единичные, до 1/15 диаметра, не более 3 шт.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Механические повреждения, пороки обработки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7EFDD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Незначительные задиры, устранимые шлифовкой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Инородные включения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FFFFF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BF6EB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</w:tr>
      <w:tr>
        <w:trPr>
          <w:cantSplit/>
        </w:trPr>
        <w:tc>
          <w:tcPr>
            <w:tcW w:type="dxa" w:w="250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/>
                <w:bCs/>
                <w:i w:val="false"/>
                <w:iCs w:val="false"/>
                <w:color w:val="3B362E"/>
                <w:sz w:val="18"/>
                <w:szCs w:val="18"/>
              </w:rPr>
              <w:t xml:space="preserve">Обзол</w:t>
            </w:r>
          </w:p>
        </w:tc>
        <w:tc>
          <w:tcPr>
            <w:tcW w:type="dxa" w:w="18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Не допускаются</w:t>
            </w:r>
          </w:p>
        </w:tc>
        <w:tc>
          <w:tcPr>
            <w:tcW w:type="dxa" w:w="2050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4F1EC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На конусе, до 1/4 поверхности</w:t>
            </w:r>
          </w:p>
        </w:tc>
        <w:tc>
          <w:tcPr>
            <w:tcW w:type="dxa" w:w="3306"/>
            <w:tcBorders>
              <w:top w:val="single" w:color="DDD3C2" w:sz="3"/>
              <w:left w:val="single" w:color="DDD3C2" w:sz="3"/>
              <w:bottom w:val="single" w:color="DDD3C2" w:sz="3"/>
              <w:right w:val="single" w:color="DDD3C2" w:sz="3"/>
            </w:tcBorders>
            <w:shd w:fill="F7EFDD" w:val="clear"/>
            <w:tcMar>
              <w:top w:type="dxa" w:w="55"/>
              <w:left w:type="dxa" w:w="85"/>
              <w:bottom w:type="dxa" w:w="55"/>
              <w:right w:type="dxa" w:w="85"/>
            </w:tcMar>
            <w:vAlign w:val="center"/>
          </w:tcPr>
          <w:p>
            <w:pPr>
              <w:spacing w:after="0" w:line="216"/>
              <w:jc w:val="left"/>
            </w:pPr>
            <w:r>
              <w:rPr>
                <w:rFonts w:ascii="Golos Text" w:cs="Golos Text" w:eastAsia="Golos Text" w:hAnsi="Golos Text"/>
                <w:b w:val="false"/>
                <w:bCs w:val="false"/>
                <w:i w:val="false"/>
                <w:iCs w:val="false"/>
                <w:color w:val="3B362E"/>
                <w:sz w:val="18"/>
                <w:szCs w:val="18"/>
              </w:rPr>
              <w:t xml:space="preserve">На конусе и по длине, до 2/5 поверхности</w:t>
            </w:r>
          </w:p>
        </w:tc>
      </w:tr>
    </w:tbl>
    <w:p>
      <w:pPr>
        <w:spacing w:after="160" w:line="240"/>
        <w:jc w:val="both"/>
      </w:pPr>
      <w:r>
        <w:rPr>
          <w:rFonts w:ascii="Golos Text" w:cs="Golos Text" w:eastAsia="Golos Text" w:hAnsi="Golos Text"/>
          <w:i/>
          <w:iCs/>
          <w:color w:val="847A68"/>
          <w:sz w:val="16"/>
          <w:szCs w:val="16"/>
        </w:rPr>
        <w:t xml:space="preserve">Дефекты, не указанные в таблице, — допустимы; термины и способ измерения — по ГОСТ 2140. Колонка «2 сорт» — наш собственный стандарт, не цитата ГОСТа. Все размеры — в долях диаметра/длины/объёма самого черенка, без миллиметров: так норма одинаково работает для черенков любого калибра.</w:t>
      </w:r>
    </w:p>
    <w:p>
      <w:pPr>
        <w:pBdr>
          <w:bottom w:val="single" w:color="E3B55E" w:sz="5" w:space="2"/>
        </w:pBdr>
        <w:spacing w:after="70" w:before="160"/>
      </w:pPr>
      <w:r>
        <w:rPr>
          <w:rFonts w:ascii="Nunito" w:cs="Nunito" w:eastAsia="Nunito" w:hAnsi="Nunito"/>
          <w:b/>
          <w:bCs/>
          <w:color w:val="C97453"/>
          <w:sz w:val="21"/>
          <w:szCs w:val="21"/>
        </w:rPr>
        <w:t xml:space="preserve">Размеры и геометрия</w:t>
      </w:r>
    </w:p>
    <w:p>
      <w:pPr>
        <w:spacing w:after="160" w:line="240"/>
        <w:jc w:val="both"/>
      </w:pPr>
      <w:r>
        <w:rPr>
          <w:rFonts w:ascii="Golos Text" w:cs="Golos Text" w:eastAsia="Golos Text" w:hAnsi="Golos Text"/>
          <w:color w:val="3B362E"/>
          <w:sz w:val="18"/>
          <w:szCs w:val="18"/>
        </w:rPr>
        <w:t xml:space="preserve">Диаметр — отклонение не более 1/20 номинала. Длина — отклонение не более 1/50 номинала. Радиус закругления затыловки — не менее 1/3 диаметра. Кривизна черенка — не более 1/50 длины. Шероховатость поверхности Rm_max ≤ 65 мкм по ГОСТ 7016-82 — этот параметр абсолютный и в доли не переводится, это про чистоту шлифовки, а не про размер черенка.</w:t>
      </w:r>
    </w:p>
    <w:p>
      <w:pPr>
        <w:pBdr>
          <w:bottom w:val="single" w:color="E3B55E" w:sz="5" w:space="2"/>
        </w:pBdr>
        <w:spacing w:after="70" w:before="160"/>
      </w:pPr>
      <w:r>
        <w:rPr>
          <w:rFonts w:ascii="Nunito" w:cs="Nunito" w:eastAsia="Nunito" w:hAnsi="Nunito"/>
          <w:b/>
          <w:bCs/>
          <w:color w:val="C97453"/>
          <w:sz w:val="21"/>
          <w:szCs w:val="21"/>
        </w:rPr>
        <w:t xml:space="preserve">Транспортировка и хранение</w:t>
      </w:r>
    </w:p>
    <w:p>
      <w:pPr>
        <w:spacing w:after="200" w:line="240"/>
        <w:jc w:val="both"/>
      </w:pPr>
      <w:r>
        <w:rPr>
          <w:rFonts w:ascii="Golos Text" w:cs="Golos Text" w:eastAsia="Golos Text" w:hAnsi="Golos Text"/>
          <w:color w:val="3B362E"/>
          <w:sz w:val="18"/>
          <w:szCs w:val="18"/>
        </w:rPr>
        <w:t xml:space="preserve">Вяжем верёвкой в связки по 10–25 шт. — по размеру. Храним связанными пачками по 5–7 шт. в ряду, расстояние между соседними пачками — не менее 1/20 длины черенка. Каждый следующий ряд кладём поверх предыдущего, поперёк ему.</w:t>
      </w:r>
    </w:p>
    <w:p>
      <w:pPr>
        <w:pBdr>
          <w:top w:val="single" w:color="DDD3C2" w:sz="5" w:space="5"/>
        </w:pBdr>
        <w:spacing w:before="60"/>
      </w:pPr>
    </w:p>
    <w:p>
      <w:pPr>
        <w:spacing w:before="140"/>
      </w:pPr>
      <w:r>
        <w:rPr>
          <w:rFonts w:ascii="Golos Text" w:cs="Golos Text" w:eastAsia="Golos Text" w:hAnsi="Golos Text"/>
          <w:color w:val="3B362E"/>
          <w:sz w:val="17"/>
          <w:szCs w:val="17"/>
        </w:rPr>
        <w:t xml:space="preserve">Утверждаю.  </w:t>
      </w:r>
      <w:r>
        <w:rPr>
          <w:rFonts w:ascii="Golos Text" w:cs="Golos Text" w:eastAsia="Golos Text" w:hAnsi="Golos Text"/>
          <w:b/>
          <w:bCs/>
          <w:color w:val="3B362E"/>
          <w:sz w:val="17"/>
          <w:szCs w:val="17"/>
        </w:rPr>
        <w:t xml:space="preserve">Начальник производства: Кудряшов А.Н.   </w:t>
      </w:r>
      <w:r>
        <w:rPr>
          <w:rFonts w:ascii="Golos Text" w:cs="Golos Text" w:eastAsia="Golos Text" w:hAnsi="Golos Text"/>
          <w:color w:val="3B362E"/>
          <w:sz w:val="17"/>
          <w:szCs w:val="17"/>
        </w:rPr>
        <w:t xml:space="preserve">_______________________</w:t>
      </w:r>
    </w:p>
    <w:sectPr>
      <w:pgSz w:w="11906" w:h="16838" w:orient="portrait"/>
      <w:pgMar w:top="700" w:right="1100" w:bottom="7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1cd5f3bd75ec03d28eb739269960e5cec9415d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2026-06-19T14:58:31.737Z</dcterms:created>
  <dcterms:modified xsi:type="dcterms:W3CDTF">2026-06-19T14:58:31.748Z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